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PROPOSAL KEGIATAN PERINGATAN HARI ULANG TAHUN (HUT)</w:t>
        <w:br/>
        <w:t>SEKOLAH DAN PENTAS SENI (PENSI) KE-30</w:t>
        <w:br/>
        <w:t>SMA NEGERI 1 INDONESIA TAHUN 2026</w:t>
      </w:r>
    </w:p>
    <w:p>
      <w:r>
        <w:rPr>
          <w:b/>
        </w:rPr>
        <w:t>I. Latar Belakang</w:t>
      </w:r>
    </w:p>
    <w:p>
      <w:pPr>
        <w:jc w:val="both"/>
      </w:pPr>
      <w:r>
        <w:t>Usia ke-30 tahun merupakan tonggak sejarah yang matang bagi SMA Negeri 1 Indonesia dalam mendedikasikan diri untuk mencetak generasi bangsa yang cerdas, berkarakter, dan berprestasi. Perjalanan panjang ini layak untuk disyukuri bersama oleh seluruh warga sekolah, mulai dari siswa, guru, staf, komite, hingga para alumni.</w:t>
        <w:br/>
        <w:br/>
        <w:t>Sebagai wujud apresiasi kreativitas dan wadah penyaluran bakat seni peserta didik, rangkaian perayaan HUT sekolah ini akan dimeriahkan dengan agenda Pentas Seni (Pensi) akbar. Kegiatan ini tidak hanya berfungsi sebagai hiburan semata, melainkan juga sarana melatih jiwa wirausaha muda (entrepreneurship), manajemen event, serta memperkuat ikatan emosional kekeluargaan di lingkungan sekolah.</w:t>
      </w:r>
    </w:p>
    <w:p>
      <w:r>
        <w:rPr>
          <w:b/>
        </w:rPr>
        <w:t>II. Dasar Pelaksanaan</w:t>
      </w:r>
    </w:p>
    <w:p>
      <w:pPr>
        <w:jc w:val="both"/>
      </w:pPr>
      <w:r>
        <w:t>1. Program Kerja Tahunan Pengurus OSIS SMA Negeri 1 Indonesia Masa Bakti 2026/2027.</w:t>
        <w:br/>
        <w:t>2. Kalender Akademik Sekolah Tahun Ajaran 2026/2027.</w:t>
        <w:br/>
        <w:t>3. Hasil Rapat Pleno Koordinasi Panitia Dies Natalis SMAN 1 Indonesia bersama Majelis Perwakilan Kelas (MPK) dan Pembina OSIS.</w:t>
      </w:r>
    </w:p>
    <w:p>
      <w:r>
        <w:rPr>
          <w:b/>
        </w:rPr>
        <w:t>III. Tujuan Kegiatan</w:t>
      </w:r>
    </w:p>
    <w:p>
      <w:pPr>
        <w:jc w:val="both"/>
      </w:pPr>
      <w:r>
        <w:t>1. Memperingati Hari Ulang Tahun ke-30 SMA Negeri 1 Indonesia dengan kegiatan yang edukatif dan inspiratif.</w:t>
        <w:br/>
        <w:t>2. Memberikan ruang unjuk kreativitas bagi siswa di bidang seni musik, teater, tari, dan pameran karya.</w:t>
        <w:br/>
        <w:t>3. Mempererat tali silaturahmi antara civitas akademika sekolah dengan para alumni lintas angkatan.</w:t>
        <w:br/>
        <w:t>4. Menumbuhkan rasa cinta dan kebanggaan terhadap almamater tercinta.</w:t>
      </w:r>
    </w:p>
    <w:p>
      <w:r>
        <w:rPr>
          <w:b/>
        </w:rPr>
        <w:t>IV. Tema Kegiatan</w:t>
      </w:r>
    </w:p>
    <w:p>
      <w:pPr>
        <w:jc w:val="both"/>
      </w:pPr>
      <w:r>
        <w:t>Tema perayaan HUT dan Pentas Seni tahun ini adalah: "Tiga Dekade Berkarya, Menginspirasi Nusantara, Menyongsong Masa Depan Gemilang".</w:t>
      </w:r>
    </w:p>
    <w:p>
      <w:r>
        <w:rPr>
          <w:b/>
        </w:rPr>
        <w:t>V. Waktu dan Tempat Pelaksanaan</w:t>
      </w:r>
    </w:p>
    <w:p>
      <w:pPr>
        <w:jc w:val="both"/>
      </w:pPr>
      <w:r>
        <w:t>- Hari, Tanggal: Sabtu, 10 Oktober 2026</w:t>
        <w:br/>
        <w:t>- Waktu: 08.00 WIB - 21.00 WIB</w:t>
        <w:br/>
        <w:t>- Tempat: Lapangan Utama dan Gedung Olahraga (GOR) SMAN 1 Indonesia</w:t>
      </w:r>
    </w:p>
    <w:p>
      <w:r>
        <w:rPr>
          <w:b/>
        </w:rPr>
        <w:t>VI. Susunan Acara Utama (Rundown Pensi)</w:t>
      </w:r>
    </w:p>
    <w:tbl>
      <w:tblPr>
        <w:tblStyle w:val="TableGrid"/>
        <w:tblW w:type="auto" w:w="0"/>
        <w:tblLook w:firstColumn="1" w:firstRow="1" w:lastColumn="0" w:lastRow="0" w:noHBand="0" w:noVBand="1" w:val="04A0"/>
      </w:tblPr>
      <w:tblGrid>
        <w:gridCol w:w="2880"/>
        <w:gridCol w:w="2880"/>
        <w:gridCol w:w="2880"/>
      </w:tblGrid>
      <w:tr>
        <w:tc>
          <w:tcPr>
            <w:tcW w:type="dxa" w:w="2880"/>
          </w:tcPr>
          <w:p>
            <w:r>
              <w:rPr>
                <w:b/>
              </w:rPr>
              <w:t>Waktu (WIB)</w:t>
            </w:r>
          </w:p>
        </w:tc>
        <w:tc>
          <w:tcPr>
            <w:tcW w:type="dxa" w:w="2880"/>
          </w:tcPr>
          <w:p>
            <w:r>
              <w:rPr>
                <w:b/>
              </w:rPr>
              <w:t>Agenda Kegiatan</w:t>
            </w:r>
          </w:p>
        </w:tc>
        <w:tc>
          <w:tcPr>
            <w:tcW w:type="dxa" w:w="2880"/>
          </w:tcPr>
          <w:p>
            <w:r>
              <w:rPr>
                <w:b/>
              </w:rPr>
              <w:t>Pengisi Acara / Penanggung Jawab</w:t>
            </w:r>
          </w:p>
        </w:tc>
      </w:tr>
      <w:tr>
        <w:tc>
          <w:tcPr>
            <w:tcW w:type="dxa" w:w="2880"/>
          </w:tcPr>
          <w:p>
            <w:r>
              <w:t>08.00 - 09.30</w:t>
            </w:r>
          </w:p>
        </w:tc>
        <w:tc>
          <w:tcPr>
            <w:tcW w:type="dxa" w:w="2880"/>
          </w:tcPr>
          <w:p>
            <w:r>
              <w:t>Upacara Pembukaan, Tumpeng, Sambutan</w:t>
            </w:r>
          </w:p>
        </w:tc>
        <w:tc>
          <w:tcPr>
            <w:tcW w:type="dxa" w:w="2880"/>
          </w:tcPr>
          <w:p>
            <w:r>
              <w:t>Kepala Sekolah &amp; Guru</w:t>
            </w:r>
          </w:p>
        </w:tc>
      </w:tr>
      <w:tr>
        <w:tc>
          <w:tcPr>
            <w:tcW w:type="dxa" w:w="2880"/>
          </w:tcPr>
          <w:p>
            <w:r>
              <w:t>09.30 - 12.00</w:t>
            </w:r>
          </w:p>
        </w:tc>
        <w:tc>
          <w:tcPr>
            <w:tcW w:type="dxa" w:w="2880"/>
          </w:tcPr>
          <w:p>
            <w:r>
              <w:t>Pentas Seni Tradisional &amp; Paduan Suara</w:t>
            </w:r>
          </w:p>
        </w:tc>
        <w:tc>
          <w:tcPr>
            <w:tcW w:type="dxa" w:w="2880"/>
          </w:tcPr>
          <w:p>
            <w:r>
              <w:t>Ekskul Seni &amp; Perwakilan Kelas</w:t>
            </w:r>
          </w:p>
        </w:tc>
      </w:tr>
      <w:tr>
        <w:tc>
          <w:tcPr>
            <w:tcW w:type="dxa" w:w="2880"/>
          </w:tcPr>
          <w:p>
            <w:r>
              <w:t>12.00 - 13.00</w:t>
            </w:r>
          </w:p>
        </w:tc>
        <w:tc>
          <w:tcPr>
            <w:tcW w:type="dxa" w:w="2880"/>
          </w:tcPr>
          <w:p>
            <w:r>
              <w:t>ISHOMA (Istirahat, Sholat, Makan)</w:t>
            </w:r>
          </w:p>
        </w:tc>
        <w:tc>
          <w:tcPr>
            <w:tcW w:type="dxa" w:w="2880"/>
          </w:tcPr>
          <w:p>
            <w:r>
              <w:t>Panitia &amp; Pengunjung</w:t>
            </w:r>
          </w:p>
        </w:tc>
      </w:tr>
      <w:tr>
        <w:tc>
          <w:tcPr>
            <w:tcW w:type="dxa" w:w="2880"/>
          </w:tcPr>
          <w:p>
            <w:r>
              <w:t>13.00 - 16.00</w:t>
            </w:r>
          </w:p>
        </w:tc>
        <w:tc>
          <w:tcPr>
            <w:tcW w:type="dxa" w:w="2880"/>
          </w:tcPr>
          <w:p>
            <w:r>
              <w:t>Pameran Kewirausahaan &amp; Band Akustik</w:t>
            </w:r>
          </w:p>
        </w:tc>
        <w:tc>
          <w:tcPr>
            <w:tcW w:type="dxa" w:w="2880"/>
          </w:tcPr>
          <w:p>
            <w:r>
              <w:t>Siswa X, XI, &amp; XII</w:t>
            </w:r>
          </w:p>
        </w:tc>
      </w:tr>
      <w:tr>
        <w:tc>
          <w:tcPr>
            <w:tcW w:type="dxa" w:w="2880"/>
          </w:tcPr>
          <w:p>
            <w:r>
              <w:t>16.00 - 19.00</w:t>
            </w:r>
          </w:p>
        </w:tc>
        <w:tc>
          <w:tcPr>
            <w:tcW w:type="dxa" w:w="2880"/>
          </w:tcPr>
          <w:p>
            <w:r>
              <w:t>Istirahat, Persiapan Malam &amp; Sholat Maghrib</w:t>
            </w:r>
          </w:p>
        </w:tc>
        <w:tc>
          <w:tcPr>
            <w:tcW w:type="dxa" w:w="2880"/>
          </w:tcPr>
          <w:p>
            <w:r>
              <w:t>Tim Logistik &amp; Keamanan</w:t>
            </w:r>
          </w:p>
        </w:tc>
      </w:tr>
      <w:tr>
        <w:tc>
          <w:tcPr>
            <w:tcW w:type="dxa" w:w="2880"/>
          </w:tcPr>
          <w:p>
            <w:r>
              <w:t>19.00 - 21.00</w:t>
            </w:r>
          </w:p>
        </w:tc>
        <w:tc>
          <w:tcPr>
            <w:tcW w:type="dxa" w:w="2880"/>
          </w:tcPr>
          <w:p>
            <w:r>
              <w:t>Malam Puncak Pensi, Drama &amp; Guest Star</w:t>
            </w:r>
          </w:p>
        </w:tc>
        <w:tc>
          <w:tcPr>
            <w:tcW w:type="dxa" w:w="2880"/>
          </w:tcPr>
          <w:p>
            <w:r>
              <w:t>Talenta Siswa &amp; Bintang Tamu</w:t>
            </w:r>
          </w:p>
        </w:tc>
      </w:tr>
    </w:tbl>
    <w:p>
      <w:r>
        <w:rPr>
          <w:b/>
        </w:rPr>
        <w:br/>
        <w:t>VII. Susunan Kepanitiaan Inti</w:t>
      </w:r>
    </w:p>
    <w:p>
      <w:pPr>
        <w:jc w:val="both"/>
      </w:pPr>
      <w:r>
        <w:t>- Pelindung: Kepala SMA Negeri 1 Indonesia</w:t>
        <w:br/>
        <w:t>- Penanggung Jawab: Wakil Kepala Sekolah Bidang Kesiswaan</w:t>
        <w:br/>
        <w:t>- Ketua Panitia: Zidan Al-Fatih</w:t>
        <w:br/>
        <w:t>- Sekretaris: Alya Nabila</w:t>
        <w:br/>
        <w:t>- Bendahara: Salsabila Zahra</w:t>
        <w:br/>
        <w:t>- Koordinator Seksi Panggung &amp; Dekorasi: Gilang Ramadhan</w:t>
        <w:br/>
        <w:t>- Koordinator Seksi Konsumsi &amp; Keamanan: Maya Anggraini</w:t>
      </w:r>
    </w:p>
    <w:p>
      <w:r>
        <w:rPr>
          <w:b/>
        </w:rPr>
        <w:br/>
        <w:t>VIII. Rencana Anggaran Biaya (RAB)</w:t>
      </w:r>
    </w:p>
    <w:p>
      <w:r>
        <w:t>A. Rencana Pemasukan</w:t>
      </w:r>
    </w:p>
    <w:tbl>
      <w:tblPr>
        <w:tblStyle w:val="TableGrid"/>
        <w:tblW w:type="auto" w:w="0"/>
        <w:tblLook w:firstColumn="1" w:firstRow="1" w:lastColumn="0" w:lastRow="0" w:noHBand="0" w:noVBand="1" w:val="04A0"/>
      </w:tblPr>
      <w:tblGrid>
        <w:gridCol w:w="4320"/>
        <w:gridCol w:w="4320"/>
      </w:tblGrid>
      <w:tr>
        <w:tc>
          <w:tcPr>
            <w:tcW w:type="dxa" w:w="4320"/>
          </w:tcPr>
          <w:p>
            <w:r>
              <w:t>Kas Sekolah / Anggaran Dana BOS Kegiatan Kesiswaan</w:t>
            </w:r>
          </w:p>
        </w:tc>
        <w:tc>
          <w:tcPr>
            <w:tcW w:type="dxa" w:w="4320"/>
          </w:tcPr>
          <w:p>
            <w:r>
              <w:t>Rp 7.500.000</w:t>
            </w:r>
          </w:p>
        </w:tc>
      </w:tr>
      <w:tr>
        <w:tc>
          <w:tcPr>
            <w:tcW w:type="dxa" w:w="4320"/>
          </w:tcPr>
          <w:p>
            <w:r>
              <w:t>Kontribusi Dana Sukarela Siswa &amp; Kas OSIS</w:t>
            </w:r>
          </w:p>
        </w:tc>
        <w:tc>
          <w:tcPr>
            <w:tcW w:type="dxa" w:w="4320"/>
          </w:tcPr>
          <w:p>
            <w:r>
              <w:t>Rp 2.500.000</w:t>
            </w:r>
          </w:p>
        </w:tc>
      </w:tr>
      <w:tr>
        <w:tc>
          <w:tcPr>
            <w:tcW w:type="dxa" w:w="4320"/>
          </w:tcPr>
          <w:p>
            <w:r>
              <w:t>Dana Usaha Panitia (Bazar &amp; Sponsor Utama)</w:t>
            </w:r>
          </w:p>
        </w:tc>
        <w:tc>
          <w:tcPr>
            <w:tcW w:type="dxa" w:w="4320"/>
          </w:tcPr>
          <w:p>
            <w:r>
              <w:t>Rp 5.000.000</w:t>
            </w:r>
          </w:p>
        </w:tc>
      </w:tr>
      <w:tr>
        <w:tc>
          <w:tcPr>
            <w:tcW w:type="dxa" w:w="4320"/>
          </w:tcPr>
          <w:p>
            <w:r>
              <w:rPr>
                <w:b/>
              </w:rPr>
              <w:t>TOTAL TARGET PEMASUKAN</w:t>
            </w:r>
          </w:p>
        </w:tc>
        <w:tc>
          <w:tcPr>
            <w:tcW w:type="dxa" w:w="4320"/>
          </w:tcPr>
          <w:p>
            <w:r>
              <w:rPr>
                <w:b/>
              </w:rPr>
              <w:t>Rp 15.000.000</w:t>
            </w:r>
          </w:p>
        </w:tc>
      </w:tr>
    </w:tbl>
    <w:p>
      <w:r>
        <w:br/>
        <w:t>B. Rencana Pengeluaran</w:t>
      </w:r>
    </w:p>
    <w:tbl>
      <w:tblPr>
        <w:tblStyle w:val="TableGrid"/>
        <w:tblW w:type="auto" w:w="0"/>
        <w:tblLook w:firstColumn="1" w:firstRow="1" w:lastColumn="0" w:lastRow="0" w:noHBand="0" w:noVBand="1" w:val="04A0"/>
      </w:tblPr>
      <w:tblGrid>
        <w:gridCol w:w="2880"/>
        <w:gridCol w:w="2880"/>
        <w:gridCol w:w="2880"/>
      </w:tblGrid>
      <w:tr>
        <w:tc>
          <w:tcPr>
            <w:tcW w:type="dxa" w:w="2880"/>
          </w:tcPr>
          <w:p>
            <w:r>
              <w:rPr>
                <w:b/>
              </w:rPr>
              <w:t>Uraian Kebutuhan &amp; Spesifikasi</w:t>
            </w:r>
          </w:p>
        </w:tc>
        <w:tc>
          <w:tcPr>
            <w:tcW w:type="dxa" w:w="2880"/>
          </w:tcPr>
          <w:p>
            <w:r>
              <w:rPr>
                <w:b/>
              </w:rPr>
              <w:t>Volume x Harga</w:t>
            </w:r>
          </w:p>
        </w:tc>
        <w:tc>
          <w:tcPr>
            <w:tcW w:type="dxa" w:w="2880"/>
          </w:tcPr>
          <w:p>
            <w:r>
              <w:rPr>
                <w:b/>
              </w:rPr>
              <w:t>Total</w:t>
            </w:r>
          </w:p>
        </w:tc>
      </w:tr>
      <w:tr>
        <w:tc>
          <w:tcPr>
            <w:tcW w:type="dxa" w:w="2880"/>
          </w:tcPr>
          <w:p>
            <w:r>
              <w:t>Kesekretariatan &amp; Publikasi (Proposal, Pamflet, Backdrop)</w:t>
            </w:r>
          </w:p>
        </w:tc>
        <w:tc>
          <w:tcPr>
            <w:tcW w:type="dxa" w:w="2880"/>
          </w:tcPr>
          <w:p>
            <w:r>
              <w:t>1 Paket</w:t>
            </w:r>
          </w:p>
        </w:tc>
        <w:tc>
          <w:tcPr>
            <w:tcW w:type="dxa" w:w="2880"/>
          </w:tcPr>
          <w:p>
            <w:r>
              <w:t>Rp 1.500.000</w:t>
            </w:r>
          </w:p>
        </w:tc>
      </w:tr>
      <w:tr>
        <w:tc>
          <w:tcPr>
            <w:tcW w:type="dxa" w:w="2880"/>
          </w:tcPr>
          <w:p>
            <w:r>
              <w:t>Panggung, Sound System &amp; Lighting (Sewa GOR &amp; Panggung)</w:t>
            </w:r>
          </w:p>
        </w:tc>
        <w:tc>
          <w:tcPr>
            <w:tcW w:type="dxa" w:w="2880"/>
          </w:tcPr>
          <w:p>
            <w:r>
              <w:t>1 Paket Sewa</w:t>
            </w:r>
          </w:p>
        </w:tc>
        <w:tc>
          <w:tcPr>
            <w:tcW w:type="dxa" w:w="2880"/>
          </w:tcPr>
          <w:p>
            <w:r>
              <w:t>Rp 7.000.000</w:t>
            </w:r>
          </w:p>
        </w:tc>
      </w:tr>
      <w:tr>
        <w:tc>
          <w:tcPr>
            <w:tcW w:type="dxa" w:w="2880"/>
          </w:tcPr>
          <w:p>
            <w:r>
              <w:t>Konsumsi Undangan, Guru, &amp; Panitia (150 Porsi)</w:t>
            </w:r>
          </w:p>
        </w:tc>
        <w:tc>
          <w:tcPr>
            <w:tcW w:type="dxa" w:w="2880"/>
          </w:tcPr>
          <w:p>
            <w:r>
              <w:t>150 x Rp 25.000</w:t>
            </w:r>
          </w:p>
        </w:tc>
        <w:tc>
          <w:tcPr>
            <w:tcW w:type="dxa" w:w="2880"/>
          </w:tcPr>
          <w:p>
            <w:r>
              <w:t>Rp 3.750.000</w:t>
            </w:r>
          </w:p>
        </w:tc>
      </w:tr>
      <w:tr>
        <w:tc>
          <w:tcPr>
            <w:tcW w:type="dxa" w:w="2880"/>
          </w:tcPr>
          <w:p>
            <w:r>
              <w:t>Dekorasi, Kostum &amp; Perlengkapan Seni Pementasan</w:t>
            </w:r>
          </w:p>
        </w:tc>
        <w:tc>
          <w:tcPr>
            <w:tcW w:type="dxa" w:w="2880"/>
          </w:tcPr>
          <w:p>
            <w:r>
              <w:t>1 Paket</w:t>
            </w:r>
          </w:p>
        </w:tc>
        <w:tc>
          <w:tcPr>
            <w:tcW w:type="dxa" w:w="2880"/>
          </w:tcPr>
          <w:p>
            <w:r>
              <w:t>Rp 1.500.000</w:t>
            </w:r>
          </w:p>
        </w:tc>
      </w:tr>
      <w:tr>
        <w:tc>
          <w:tcPr>
            <w:tcW w:type="dxa" w:w="2880"/>
          </w:tcPr>
          <w:p>
            <w:r>
              <w:t>Dana Cadangan / Keamanan &amp; Kebersihan</w:t>
            </w:r>
          </w:p>
        </w:tc>
        <w:tc>
          <w:tcPr>
            <w:tcW w:type="dxa" w:w="2880"/>
          </w:tcPr>
          <w:p>
            <w:r>
              <w:t>1 Paket</w:t>
            </w:r>
          </w:p>
        </w:tc>
        <w:tc>
          <w:tcPr>
            <w:tcW w:type="dxa" w:w="2880"/>
          </w:tcPr>
          <w:p>
            <w:r>
              <w:t>Rp 1.250.000</w:t>
            </w:r>
          </w:p>
        </w:tc>
      </w:tr>
      <w:tr>
        <w:tc>
          <w:tcPr>
            <w:tcW w:type="dxa" w:w="2880"/>
          </w:tcPr>
          <w:p>
            <w:r>
              <w:rPr>
                <w:b/>
              </w:rPr>
              <w:t>TOTAL ESTIMASI PENGELUARAN</w:t>
            </w:r>
          </w:p>
        </w:tc>
        <w:tc>
          <w:tcPr>
            <w:tcW w:type="dxa" w:w="2880"/>
          </w:tcPr>
          <w:p>
            <w:r/>
          </w:p>
        </w:tc>
        <w:tc>
          <w:tcPr>
            <w:tcW w:type="dxa" w:w="2880"/>
          </w:tcPr>
          <w:p>
            <w:r>
              <w:rPr>
                <w:b/>
              </w:rPr>
              <w:t>Rp 15.000.000</w:t>
            </w:r>
          </w:p>
        </w:tc>
      </w:tr>
    </w:tbl>
    <w:p>
      <w:r>
        <w:rPr>
          <w:b/>
        </w:rPr>
        <w:br/>
        <w:t>IX. Penutup</w:t>
      </w:r>
    </w:p>
    <w:p>
      <w:pPr>
        <w:jc w:val="both"/>
      </w:pPr>
      <w:r>
        <w:t>Demikian proposal kegiatan Peringatan HUT ke-30 dan Pentas Seni SMA Negeri 1 Indonesia ini kami susun. Besar harapan kami agar pihak sekolah dan instansi terkait dapat memberikan dukungan penuh serta pengesahan agar acara akbar ini dapat terlaksana dengan sukses dan membawa nama baik almamater.</w:t>
        <w:br/>
        <w:br/>
        <w:t>Atas perhatian, bantuan, dan kerja samanya, kami sampaikan terima kasih.</w:t>
      </w:r>
    </w:p>
    <w:p>
      <w:r>
        <w:br/>
        <w:t>Jakarta, 10 September 2026</w:t>
      </w:r>
    </w:p>
    <w:tbl>
      <w:tblPr>
        <w:tblW w:type="auto" w:w="0"/>
        <w:tblLook w:firstColumn="1" w:firstRow="1" w:lastColumn="0" w:lastRow="0" w:noHBand="0" w:noVBand="1" w:val="04A0"/>
      </w:tblPr>
      <w:tblGrid>
        <w:gridCol w:w="4320"/>
        <w:gridCol w:w="4320"/>
      </w:tblGrid>
      <w:tr>
        <w:tc>
          <w:tcPr>
            <w:tcW w:type="dxa" w:w="4320"/>
          </w:tcPr>
          <w:p>
            <w:pPr>
              <w:jc w:val="center"/>
            </w:pPr>
            <w:r>
              <w:t>Ketua Panitia Pelaksana HUT Ke-30</w:t>
            </w:r>
          </w:p>
        </w:tc>
        <w:tc>
          <w:tcPr>
            <w:tcW w:type="dxa" w:w="4320"/>
          </w:tcPr>
          <w:p>
            <w:pPr>
              <w:jc w:val="center"/>
            </w:pPr>
            <w:r>
              <w:t>Sekretaris Panitia</w:t>
            </w:r>
          </w:p>
        </w:tc>
      </w:tr>
      <w:tr>
        <w:tc>
          <w:tcPr>
            <w:tcW w:type="dxa" w:w="4320"/>
          </w:tcPr>
          <w:p>
            <w:pPr>
              <w:jc w:val="center"/>
            </w:pPr>
            <w:r>
              <w:br/>
              <w:br/>
            </w:r>
          </w:p>
        </w:tc>
        <w:tc>
          <w:tcPr>
            <w:tcW w:type="dxa" w:w="4320"/>
          </w:tcPr>
          <w:p>
            <w:pPr>
              <w:jc w:val="center"/>
            </w:pPr>
            <w:r>
              <w:br/>
              <w:br/>
            </w:r>
          </w:p>
        </w:tc>
      </w:tr>
      <w:tr>
        <w:tc>
          <w:tcPr>
            <w:tcW w:type="dxa" w:w="4320"/>
          </w:tcPr>
          <w:p>
            <w:pPr>
              <w:jc w:val="center"/>
            </w:pPr>
            <w:r>
              <w:rPr>
                <w:b/>
                <w:u w:val="single"/>
              </w:rPr>
              <w:t>Zidan Al-Fatih</w:t>
            </w:r>
            <w:r>
              <w:br/>
              <w:t>NIS. 13456789</w:t>
            </w:r>
          </w:p>
        </w:tc>
        <w:tc>
          <w:tcPr>
            <w:tcW w:type="dxa" w:w="4320"/>
          </w:tcPr>
          <w:p>
            <w:pPr>
              <w:jc w:val="center"/>
            </w:pPr>
            <w:r>
              <w:rPr>
                <w:b/>
                <w:u w:val="single"/>
              </w:rPr>
              <w:t>Alya Nabila</w:t>
            </w:r>
            <w:r>
              <w:br/>
              <w:t>NIS. 13456790</w:t>
            </w:r>
          </w:p>
        </w:tc>
      </w:tr>
    </w:tbl>
    <w:p>
      <w:r>
        <w:br/>
      </w:r>
    </w:p>
    <w:tbl>
      <w:tblPr>
        <w:tblW w:type="auto" w:w="0"/>
        <w:tblLook w:firstColumn="1" w:firstRow="1" w:lastColumn="0" w:lastRow="0" w:noHBand="0" w:noVBand="1" w:val="04A0"/>
      </w:tblPr>
      <w:tblGrid>
        <w:gridCol w:w="4320"/>
        <w:gridCol w:w="4320"/>
      </w:tblGrid>
      <w:tr>
        <w:tc>
          <w:tcPr>
            <w:tcW w:type="dxa" w:w="4320"/>
          </w:tcPr>
          <w:p>
            <w:pPr>
              <w:jc w:val="center"/>
            </w:pPr>
            <w:r>
              <w:t>Menyetujui,</w:t>
              <w:br/>
              <w:t>Wakasek Bidang Kesiswaan</w:t>
            </w:r>
          </w:p>
        </w:tc>
        <w:tc>
          <w:tcPr>
            <w:tcW w:type="dxa" w:w="4320"/>
          </w:tcPr>
          <w:p>
            <w:pPr>
              <w:jc w:val="center"/>
            </w:pPr>
            <w:r>
              <w:t>Pembina OSIS</w:t>
            </w:r>
          </w:p>
        </w:tc>
      </w:tr>
      <w:tr>
        <w:tc>
          <w:tcPr>
            <w:tcW w:type="dxa" w:w="4320"/>
          </w:tcPr>
          <w:p>
            <w:pPr>
              <w:jc w:val="center"/>
            </w:pPr>
            <w:r>
              <w:br/>
              <w:br/>
            </w:r>
          </w:p>
        </w:tc>
        <w:tc>
          <w:tcPr>
            <w:tcW w:type="dxa" w:w="4320"/>
          </w:tcPr>
          <w:p>
            <w:pPr>
              <w:jc w:val="center"/>
            </w:pPr>
            <w:r>
              <w:br/>
              <w:br/>
            </w:r>
          </w:p>
        </w:tc>
      </w:tr>
      <w:tr>
        <w:tc>
          <w:tcPr>
            <w:tcW w:type="dxa" w:w="4320"/>
          </w:tcPr>
          <w:p>
            <w:pPr>
              <w:jc w:val="center"/>
            </w:pPr>
            <w:r>
              <w:rPr>
                <w:b/>
                <w:u w:val="single"/>
              </w:rPr>
              <w:t>Drs. Ahmad Yani, M.Pd.</w:t>
            </w:r>
            <w:r>
              <w:br/>
              <w:t>NIP. 19700101 199512 1 001</w:t>
            </w:r>
          </w:p>
        </w:tc>
        <w:tc>
          <w:tcPr>
            <w:tcW w:type="dxa" w:w="4320"/>
          </w:tcPr>
          <w:p>
            <w:pPr>
              <w:jc w:val="center"/>
            </w:pPr>
            <w:r>
              <w:rPr>
                <w:b/>
                <w:u w:val="single"/>
              </w:rPr>
              <w:t>Reza Pratama, S.Pd.</w:t>
            </w:r>
            <w:r>
              <w:br/>
              <w:t>NIP. 19850202 201001 1 003</w:t>
            </w:r>
          </w:p>
        </w:tc>
      </w:tr>
    </w:tbl>
    <w:p>
      <w:r>
        <w:br/>
      </w:r>
    </w:p>
    <w:p>
      <w:pPr>
        <w:jc w:val="center"/>
      </w:pPr>
      <w:r>
        <w:t>Mengetahui dan Mengesahkan,</w:t>
        <w:br/>
        <w:t>Kepala Sekolah SMA Negeri 1 Indonesia</w:t>
        <w:br/>
        <w:br/>
        <w:br/>
        <w:br/>
      </w:r>
      <w:r>
        <w:rPr>
          <w:b/>
          <w:u w:val="single"/>
        </w:rPr>
        <w:t>Hj. Rini Suwandi, M.Si.</w:t>
      </w:r>
      <w:r>
        <w:br/>
        <w:t>NIP. 19680505 199003 2 002</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